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9350" w:type="dxa"/>
        <w:jc w:val="left"/>
        <w:tblInd w:w="-3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0"/>
      </w:tblGrid>
      <w:tr>
        <w:trPr/>
        <w:tc>
          <w:tcPr>
            <w:tcW w:w="93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fill="F2F2F2" w:val="clear"/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Стандард 5. Курикулум</w:t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Курикулум студијског програма садржи листу и структуру обавезних и изборних предмета и модула и њихов опис. Основна изборност уметничких студија уграђена је у главни предмет.</w:t>
            </w:r>
          </w:p>
        </w:tc>
      </w:tr>
      <w:tr>
        <w:trPr/>
        <w:tc>
          <w:tcPr>
            <w:tcW w:w="93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lang w:val="sr-CS"/>
              </w:rPr>
              <w:t>Структура  курикулума</w:t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RS"/>
              </w:rPr>
              <w:t xml:space="preserve">Мастер </w:t>
            </w:r>
            <w:r>
              <w:rPr>
                <w:rFonts w:ascii="Times New Roman" w:hAnsi="Times New Roman"/>
                <w:lang w:val="sr-CS"/>
              </w:rPr>
              <w:t>академске студије комуникологије подразумевају једногодишњи студијски програм у вредности од 60 Е</w:t>
            </w:r>
            <w:r>
              <w:rPr>
                <w:rFonts w:ascii="Times New Roman" w:hAnsi="Times New Roman"/>
                <w:lang w:val="sr-RS"/>
              </w:rPr>
              <w:t>СПБ</w:t>
            </w:r>
            <w:r>
              <w:rPr>
                <w:rFonts w:ascii="Times New Roman" w:hAnsi="Times New Roman"/>
                <w:lang w:val="sr-CS"/>
              </w:rPr>
              <w:t xml:space="preserve"> бодова </w:t>
            </w:r>
            <w:r>
              <w:rPr>
                <w:rFonts w:ascii="Times New Roman" w:hAnsi="Times New Roman"/>
                <w:lang w:val="sr-RS"/>
              </w:rPr>
              <w:t>са 20 часова активне наставе у просеку. Курикулум обухвата два обавезна теоријско-методолошка предмета од 6 ЕСПБ бодова, обавезну праксу од 3 ЕСПБ бода и 12 ЕСПБ бодова за израду и одбрану завршног мастер рада.</w:t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  <w:lang w:val="sr-RS"/>
              </w:rPr>
            </w:pPr>
            <w:r>
              <w:rPr>
                <w:rFonts w:ascii="Times New Roman" w:hAnsi="Times New Roman"/>
                <w:lang w:val="sr-RS"/>
              </w:rPr>
              <w:t xml:space="preserve">Изборни предмети су смештени у два изборна блока од по шест предмета. </w:t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RS"/>
              </w:rPr>
              <w:t xml:space="preserve">Распоред </w:t>
            </w:r>
            <w:r>
              <w:rPr>
                <w:rFonts w:ascii="Times New Roman" w:hAnsi="Times New Roman"/>
                <w:lang w:val="sr-CS"/>
              </w:rPr>
              <w:t xml:space="preserve">оптерећења студената </w:t>
            </w:r>
            <w:r>
              <w:rPr>
                <w:rFonts w:ascii="Times New Roman" w:hAnsi="Times New Roman"/>
                <w:lang w:val="sr-RS"/>
              </w:rPr>
              <w:t xml:space="preserve">је уједначен по семестрима и износи 30 </w:t>
            </w:r>
            <w:r>
              <w:rPr>
                <w:rFonts w:ascii="Times New Roman" w:hAnsi="Times New Roman"/>
                <w:lang w:val="sr-CS"/>
              </w:rPr>
              <w:t>ЕСПБ бодова.</w:t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S"/>
              </w:rPr>
              <w:t>Студијски програм</w:t>
            </w:r>
            <w:r>
              <w:rPr>
                <w:rFonts w:ascii="Times New Roman" w:hAnsi="Times New Roman"/>
                <w:lang w:val="sr-RS"/>
              </w:rPr>
              <w:t xml:space="preserve"> садржи осам предмета различитог типа (</w:t>
            </w:r>
            <w:r>
              <w:rPr>
                <w:rFonts w:ascii="Times New Roman" w:hAnsi="Times New Roman"/>
                <w:lang w:val="sr-CS"/>
              </w:rPr>
              <w:t>стручно-апликативних, научно-</w:t>
            </w:r>
            <w:r>
              <w:rPr>
                <w:rFonts w:ascii="Times New Roman" w:hAnsi="Times New Roman"/>
                <w:lang w:val="sr-RS"/>
              </w:rPr>
              <w:t xml:space="preserve">стручних) који су матични на </w:t>
            </w:r>
            <w:r>
              <w:rPr>
                <w:rFonts w:ascii="Times New Roman" w:hAnsi="Times New Roman"/>
                <w:lang w:val="sr-CS"/>
              </w:rPr>
              <w:t>мастер студија</w:t>
            </w:r>
            <w:r>
              <w:rPr>
                <w:rFonts w:ascii="Times New Roman" w:hAnsi="Times New Roman"/>
                <w:lang w:val="sr-RS"/>
              </w:rPr>
              <w:t>ма комуникологије, што чини више од</w:t>
            </w:r>
            <w:r>
              <w:rPr>
                <w:rFonts w:ascii="Times New Roman" w:hAnsi="Times New Roman"/>
                <w:lang w:val="sr-CS"/>
              </w:rPr>
              <w:t xml:space="preserve"> 35% од укупног броја ЕСПБ бодова. </w:t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RS" w:eastAsia="sr-Latn-RS"/>
              </w:rPr>
              <w:t xml:space="preserve"> </w:t>
            </w:r>
            <w:r>
              <w:rPr>
                <w:rFonts w:ascii="Times New Roman" w:hAnsi="Times New Roman"/>
                <w:lang w:val="sr-Latn-RS" w:eastAsia="sr-Latn-RS"/>
              </w:rPr>
              <w:t xml:space="preserve">У структури студијског програма на мастер академским студијама </w:t>
            </w:r>
            <w:r>
              <w:rPr>
                <w:rFonts w:ascii="Times New Roman" w:hAnsi="Times New Roman"/>
                <w:lang w:val="sr-RS" w:eastAsia="sr-Latn-RS"/>
              </w:rPr>
              <w:t>комуникологије</w:t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RS" w:eastAsia="sr-Latn-RS"/>
              </w:rPr>
              <w:t xml:space="preserve">  </w:t>
            </w:r>
            <w:r>
              <w:rPr>
                <w:rFonts w:ascii="Times New Roman" w:hAnsi="Times New Roman"/>
                <w:lang w:val="sr-Latn-RS" w:eastAsia="sr-Latn-RS"/>
              </w:rPr>
              <w:t>заступљене су следеће групе предмета у односу на укупан број ЕСПБ бодова, и то:</w:t>
            </w:r>
          </w:p>
          <w:p>
            <w:pPr>
              <w:pStyle w:val="Normal"/>
              <w:numPr>
                <w:ilvl w:val="1"/>
                <w:numId w:val="1"/>
              </w:numPr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S"/>
              </w:rPr>
              <w:t xml:space="preserve">научно и стручно-апликативне – </w:t>
            </w:r>
            <w:r>
              <w:rPr>
                <w:rFonts w:ascii="Times New Roman" w:hAnsi="Times New Roman"/>
                <w:lang w:val="sr-RS"/>
              </w:rPr>
              <w:t>68,33</w:t>
            </w:r>
            <w:r>
              <w:rPr>
                <w:rFonts w:ascii="Times New Roman" w:hAnsi="Times New Roman"/>
                <w:lang w:val="sr-CS"/>
              </w:rPr>
              <w:t>%,</w:t>
            </w:r>
          </w:p>
          <w:p>
            <w:pPr>
              <w:pStyle w:val="Normal"/>
              <w:numPr>
                <w:ilvl w:val="1"/>
                <w:numId w:val="1"/>
              </w:numPr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S"/>
              </w:rPr>
              <w:t xml:space="preserve">општеобразовне и теоријско-методолошке –  </w:t>
            </w:r>
            <w:r>
              <w:rPr>
                <w:rFonts w:ascii="Times New Roman" w:hAnsi="Times New Roman"/>
                <w:lang w:val="sr-RS"/>
              </w:rPr>
              <w:t>31,67</w:t>
            </w:r>
            <w:r>
              <w:rPr>
                <w:rFonts w:ascii="Times New Roman" w:hAnsi="Times New Roman"/>
                <w:lang w:val="sr-CS"/>
              </w:rPr>
              <w:t>%.</w:t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 структури студијског програма </w:t>
            </w:r>
            <w:r>
              <w:rPr>
                <w:rFonts w:ascii="Times New Roman" w:hAnsi="Times New Roman"/>
                <w:lang w:val="sr-RS"/>
              </w:rPr>
              <w:t>мастер студија комуникологије, изборни предмети заступљени су са 37,50% у односу на укупан број ЕСПБ бодова.</w:t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RS"/>
              </w:rPr>
              <w:t xml:space="preserve">Листа изборних предмета износи 12 предмета, од којих се бира пет. </w:t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  <w:lang w:val="sr-RS" w:eastAsia="sr-Latn-RS"/>
              </w:rPr>
            </w:pPr>
            <w:r>
              <w:rPr>
                <w:rFonts w:ascii="Times New Roman" w:hAnsi="Times New Roman"/>
                <w:lang w:val="sr-RS" w:eastAsia="sr-Latn-RS"/>
              </w:rPr>
              <w:t>Завршни рад је обавезан и носи 12 ЕСПБ бодова.</w:t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RS" w:eastAsia="sr-Latn-RS"/>
              </w:rPr>
              <w:t xml:space="preserve">У </w:t>
            </w:r>
            <w:r>
              <w:rPr>
                <w:rFonts w:ascii="Times New Roman" w:hAnsi="Times New Roman"/>
                <w:lang w:val="sr-RS" w:eastAsia="sr-Latn-RS"/>
              </w:rPr>
              <w:t>оквиру мастер студија комуникологије студенти имају</w:t>
            </w:r>
            <w:r>
              <w:rPr>
                <w:rFonts w:ascii="Times New Roman" w:hAnsi="Times New Roman"/>
                <w:lang w:val="sr-Latn-RS" w:eastAsia="sr-Latn-RS"/>
              </w:rPr>
              <w:t xml:space="preserve"> стручну праксу3 ЕСПБ бода.</w:t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93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fill="F2F2F2" w:val="clear"/>
          </w:tcPr>
          <w:p>
            <w:pPr>
              <w:pStyle w:val="Normal"/>
              <w:pBdr>
                <w:bottom w:val="single" w:sz="6" w:space="1" w:color="000000"/>
              </w:pBdr>
              <w:bidi w:val="0"/>
              <w:jc w:val="both"/>
              <w:rPr>
                <w:rFonts w:ascii="Times New Roman" w:hAnsi="Times New Roman"/>
                <w:b/>
                <w:b/>
                <w:sz w:val="24"/>
                <w:szCs w:val="24"/>
                <w:lang w:val="sr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S"/>
              </w:rPr>
              <w:t xml:space="preserve">Табеле и Прилози за стандард 4: </w:t>
            </w:r>
          </w:p>
          <w:p>
            <w:pPr>
              <w:pStyle w:val="Normal"/>
              <w:bidi w:val="0"/>
              <w:spacing w:before="0" w:after="60"/>
              <w:jc w:val="both"/>
              <w:rPr/>
            </w:pPr>
            <w:hyperlink r:id="rId2">
              <w:r>
                <w:rPr>
                  <w:rStyle w:val="InternetLink"/>
                  <w:rFonts w:ascii="Times New Roman" w:hAnsi="Times New Roman"/>
                  <w:b/>
                  <w:bCs/>
                  <w:sz w:val="24"/>
                  <w:szCs w:val="24"/>
                  <w:lang w:val="sr-CS"/>
                </w:rPr>
                <w:t>Табела 5.1.</w:t>
              </w:r>
            </w:hyperlink>
            <w:r>
              <w:rPr>
                <w:rFonts w:ascii="Times New Roman" w:hAnsi="Times New Roman"/>
                <w:bCs/>
                <w:sz w:val="24"/>
                <w:szCs w:val="24"/>
                <w:lang w:val="sr-CS"/>
              </w:rPr>
              <w:t xml:space="preserve"> Распоред предмета по семестрима и годинама студија. </w:t>
            </w:r>
          </w:p>
          <w:p>
            <w:pPr>
              <w:pStyle w:val="Normal"/>
              <w:bidi w:val="0"/>
              <w:jc w:val="both"/>
              <w:rPr/>
            </w:pPr>
            <w:hyperlink r:id="rId3">
              <w:r>
                <w:rPr>
                  <w:rStyle w:val="InternetLink"/>
                  <w:rFonts w:ascii="Times New Roman" w:hAnsi="Times New Roman"/>
                  <w:b/>
                  <w:sz w:val="24"/>
                  <w:szCs w:val="24"/>
                </w:rPr>
                <w:t>Tабелa 5.1 a.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Распоред предмета по семестрима и годинама студија за основне струковне студије (ОСС), специјалистичке струковне студије (ССС) и основне академске студије (ОАС)</w:t>
            </w:r>
            <w:r>
              <w:rPr>
                <w:rFonts w:ascii="Times New Roman" w:hAnsi="Times New Roman"/>
                <w:bCs/>
                <w:sz w:val="24"/>
                <w:szCs w:val="24"/>
                <w:lang w:val="sr-RS"/>
              </w:rPr>
              <w:t>.</w:t>
            </w:r>
          </w:p>
          <w:p>
            <w:pPr>
              <w:pStyle w:val="Normal"/>
              <w:bidi w:val="0"/>
              <w:jc w:val="both"/>
              <w:rPr/>
            </w:pPr>
            <w:hyperlink r:id="rId4">
              <w:r>
                <w:rPr>
                  <w:rStyle w:val="InternetLink"/>
                  <w:rFonts w:ascii="Times New Roman" w:hAnsi="Times New Roman"/>
                  <w:b/>
                  <w:sz w:val="24"/>
                  <w:szCs w:val="24"/>
                </w:rPr>
                <w:t>Tабелa 5.1</w:t>
              </w:r>
              <w:r>
                <w:rPr>
                  <w:rStyle w:val="InternetLink"/>
                  <w:rFonts w:ascii="Times New Roman" w:hAnsi="Times New Roman"/>
                  <w:b/>
                  <w:sz w:val="24"/>
                  <w:szCs w:val="24"/>
                  <w:lang w:val="sr-RS"/>
                </w:rPr>
                <w:t>б</w:t>
              </w:r>
              <w:r>
                <w:rPr>
                  <w:rStyle w:val="InternetLink"/>
                  <w:rFonts w:ascii="Times New Roman" w:hAnsi="Times New Roman"/>
                  <w:b/>
                  <w:sz w:val="24"/>
                  <w:szCs w:val="24"/>
                </w:rPr>
                <w:t>.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Распоред предмета по семестрима и годинама студија</w:t>
            </w:r>
            <w:r>
              <w:rPr>
                <w:rFonts w:ascii="Times New Roman" w:hAnsi="Times New Roman"/>
                <w:bCs/>
                <w:sz w:val="24"/>
                <w:szCs w:val="24"/>
                <w:lang w:val="sr-CS"/>
              </w:rPr>
              <w:t xml:space="preserve"> за  за студије другог степена студија: МАС,</w:t>
            </w:r>
            <w:r>
              <w:rPr>
                <w:rFonts w:ascii="Times New Roman" w:hAnsi="Times New Roman"/>
                <w:bCs/>
                <w:sz w:val="24"/>
                <w:szCs w:val="24"/>
                <w:lang w:val="sr-R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sr-CS"/>
              </w:rPr>
              <w:t>МСС и САС.</w:t>
            </w:r>
          </w:p>
          <w:p>
            <w:pPr>
              <w:pStyle w:val="Normal"/>
              <w:bidi w:val="0"/>
              <w:jc w:val="both"/>
              <w:rPr/>
            </w:pPr>
            <w:hyperlink r:id="rId5">
              <w:r>
                <w:rPr>
                  <w:rStyle w:val="InternetLink"/>
                  <w:rFonts w:ascii="Times New Roman" w:hAnsi="Times New Roman"/>
                  <w:b/>
                  <w:sz w:val="24"/>
                  <w:szCs w:val="24"/>
                </w:rPr>
                <w:t>Tабелa 5.1</w:t>
              </w:r>
              <w:r>
                <w:rPr>
                  <w:rStyle w:val="InternetLink"/>
                  <w:rFonts w:ascii="Times New Roman" w:hAnsi="Times New Roman"/>
                  <w:b/>
                  <w:sz w:val="24"/>
                  <w:szCs w:val="24"/>
                  <w:lang w:val="sr-RS"/>
                </w:rPr>
                <w:t>в</w:t>
              </w:r>
            </w:hyperlink>
            <w:r>
              <w:rPr>
                <w:rFonts w:ascii="Times New Roman" w:hAnsi="Times New Roman"/>
                <w:b/>
                <w:sz w:val="24"/>
                <w:szCs w:val="24"/>
                <w:lang w:val="sr-R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sr-R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Распоред предмета по семестрима и годинама студија</w:t>
            </w:r>
            <w:r>
              <w:rPr>
                <w:rFonts w:ascii="Times New Roman" w:hAnsi="Times New Roman"/>
                <w:bCs/>
                <w:sz w:val="24"/>
                <w:szCs w:val="24"/>
                <w:lang w:val="sr-CS"/>
              </w:rPr>
              <w:t xml:space="preserve"> за  интегрисане студије</w:t>
            </w:r>
          </w:p>
          <w:p>
            <w:pPr>
              <w:pStyle w:val="Normal"/>
              <w:bidi w:val="0"/>
              <w:jc w:val="both"/>
              <w:rPr/>
            </w:pPr>
            <w:hyperlink r:id="rId6">
              <w:r>
                <w:rPr>
                  <w:rStyle w:val="InternetLink"/>
                  <w:rFonts w:ascii="Times New Roman" w:hAnsi="Times New Roman"/>
                  <w:b/>
                  <w:bCs/>
                  <w:sz w:val="24"/>
                  <w:szCs w:val="24"/>
                  <w:lang w:val="sr-CS"/>
                </w:rPr>
                <w:t>Табела 5.2.</w:t>
              </w:r>
            </w:hyperlink>
            <w:r>
              <w:rPr>
                <w:rFonts w:ascii="Times New Roman" w:hAnsi="Times New Roman"/>
                <w:bCs/>
                <w:sz w:val="24"/>
                <w:szCs w:val="24"/>
                <w:lang w:val="sr-CS"/>
              </w:rPr>
              <w:t xml:space="preserve"> Спецификација  предмета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>
            <w:pPr>
              <w:pStyle w:val="Normal"/>
              <w:bidi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FF"/>
                <w:sz w:val="24"/>
                <w:szCs w:val="24"/>
                <w:lang w:val="sr-RS"/>
              </w:rPr>
              <w:t>Табела 5.2.а.</w:t>
            </w:r>
            <w:r>
              <w:rPr>
                <w:rFonts w:ascii="Times New Roman" w:hAnsi="Times New Roman"/>
                <w:bCs/>
                <w:color w:val="FF0000"/>
                <w:sz w:val="24"/>
                <w:szCs w:val="24"/>
                <w:lang w:val="sr-C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sr-CS"/>
              </w:rPr>
              <w:t>Књига предмета - студијски програм  (назив програма)</w:t>
            </w:r>
          </w:p>
          <w:p>
            <w:pPr>
              <w:pStyle w:val="Normal"/>
              <w:bidi w:val="0"/>
              <w:spacing w:lineRule="auto" w:line="276" w:before="20" w:after="0"/>
              <w:jc w:val="both"/>
              <w:rPr/>
            </w:pPr>
            <w:hyperlink r:id="rId7">
              <w:r>
                <w:rPr>
                  <w:rStyle w:val="InternetLink"/>
                  <w:rFonts w:ascii="Times New Roman" w:hAnsi="Times New Roman"/>
                  <w:b/>
                  <w:sz w:val="24"/>
                  <w:szCs w:val="24"/>
                </w:rPr>
                <w:t>Табела 5.</w:t>
              </w:r>
              <w:r>
                <w:rPr>
                  <w:rStyle w:val="InternetLink"/>
                  <w:rFonts w:ascii="Times New Roman" w:hAnsi="Times New Roman"/>
                  <w:b/>
                  <w:sz w:val="24"/>
                  <w:szCs w:val="24"/>
                  <w:lang w:val="ru-RU"/>
                </w:rPr>
                <w:t>3</w:t>
              </w:r>
              <w:r>
                <w:rPr>
                  <w:rStyle w:val="InternetLink"/>
                  <w:rFonts w:ascii="Times New Roman" w:hAnsi="Times New Roman"/>
                  <w:sz w:val="24"/>
                  <w:szCs w:val="24"/>
                </w:rPr>
                <w:t xml:space="preserve"> </w:t>
              </w:r>
            </w:hyperlink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Изборна настава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на с</w:t>
            </w:r>
            <w:r>
              <w:rPr>
                <w:rFonts w:ascii="Times New Roman" w:hAnsi="Times New Roman"/>
                <w:sz w:val="24"/>
                <w:szCs w:val="24"/>
              </w:rPr>
              <w:t>тудијск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програм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>
            <w:pPr>
              <w:pStyle w:val="Normal"/>
              <w:bidi w:val="0"/>
              <w:spacing w:before="0" w:after="60"/>
              <w:jc w:val="both"/>
              <w:rPr/>
            </w:pPr>
            <w:hyperlink r:id="rId8">
              <w:r>
                <w:rPr>
                  <w:rStyle w:val="InternetLink"/>
                  <w:rFonts w:ascii="Times New Roman" w:hAnsi="Times New Roman"/>
                  <w:b/>
                  <w:sz w:val="24"/>
                  <w:szCs w:val="24"/>
                </w:rPr>
                <w:t>Табела 5.</w:t>
              </w:r>
              <w:r>
                <w:rPr>
                  <w:rStyle w:val="InternetLink"/>
                  <w:rFonts w:ascii="Times New Roman" w:hAnsi="Times New Roman"/>
                  <w:b/>
                  <w:sz w:val="24"/>
                  <w:szCs w:val="24"/>
                  <w:lang w:val="ru-RU"/>
                </w:rPr>
                <w:t>4</w:t>
              </w:r>
              <w:r>
                <w:rPr>
                  <w:rStyle w:val="InternetLink"/>
                  <w:rFonts w:ascii="Times New Roman" w:hAnsi="Times New Roman"/>
                  <w:b/>
                  <w:sz w:val="24"/>
                  <w:szCs w:val="24"/>
                </w:rPr>
                <w:t>.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Листа предмета на студијском програму првог нивоа, по типу предмета: (</w:t>
            </w:r>
            <w:r>
              <w:rPr>
                <w:rFonts w:ascii="Times New Roman" w:hAnsi="Times New Roman"/>
                <w:sz w:val="24"/>
                <w:szCs w:val="24"/>
              </w:rPr>
              <w:t>Академско-општеобразовни предмети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Теоријско-методолошки предмети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Научно, односно уметничко стручни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Стручно апликативни</w:t>
            </w:r>
            <w:r>
              <w:rPr>
                <w:rFonts w:ascii="Times New Roman" w:hAnsi="Times New Roman"/>
                <w:sz w:val="24"/>
                <w:szCs w:val="24"/>
                <w:lang w:val="sr-RS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 xml:space="preserve">Стручни, односно уметничко-стручни предмети)  </w:t>
            </w:r>
          </w:p>
          <w:p>
            <w:pPr>
              <w:pStyle w:val="Normal"/>
              <w:bidi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S"/>
              </w:rPr>
              <w:t>Извештај 1.</w:t>
            </w:r>
            <w:r>
              <w:rPr>
                <w:rFonts w:ascii="Times New Roman" w:hAnsi="Times New Roman"/>
                <w:bCs/>
                <w:sz w:val="24"/>
                <w:szCs w:val="24"/>
                <w:lang w:val="sr-CS"/>
              </w:rPr>
              <w:t xml:space="preserve"> Извештај о структури студијског програма (овај извештај следи из електронског формулара и формира се након уноса и обрачуна свих података у електронском формулару) формулара).</w:t>
            </w:r>
          </w:p>
          <w:p>
            <w:pPr>
              <w:pStyle w:val="Normal"/>
              <w:pBdr>
                <w:bottom w:val="single" w:sz="6" w:space="1" w:color="000000"/>
              </w:pBdr>
              <w:bidi w:val="0"/>
              <w:jc w:val="both"/>
              <w:rPr/>
            </w:pPr>
            <w:hyperlink r:id="rId9">
              <w:r>
                <w:rPr>
                  <w:rStyle w:val="InternetLink"/>
                  <w:rFonts w:ascii="Times New Roman" w:hAnsi="Times New Roman"/>
                  <w:b/>
                  <w:bCs/>
                  <w:sz w:val="24"/>
                  <w:szCs w:val="24"/>
                  <w:lang w:val="sr-CS"/>
                </w:rPr>
                <w:t>Блок табела  5.1.</w:t>
              </w:r>
              <w:r>
                <w:rPr>
                  <w:rStyle w:val="InternetLink"/>
                  <w:rFonts w:ascii="Times New Roman" w:hAnsi="Times New Roman"/>
                  <w:bCs/>
                  <w:sz w:val="24"/>
                  <w:szCs w:val="24"/>
                  <w:lang w:val="sr-CS"/>
                </w:rPr>
                <w:t xml:space="preserve"> </w:t>
              </w:r>
            </w:hyperlink>
            <w:r>
              <w:rPr>
                <w:rFonts w:ascii="Times New Roman" w:hAnsi="Times New Roman"/>
                <w:bCs/>
                <w:sz w:val="24"/>
                <w:szCs w:val="24"/>
                <w:lang w:val="sr-CS"/>
              </w:rPr>
              <w:t xml:space="preserve"> Студијски програм са изборним подручјем-модулима.</w:t>
            </w:r>
          </w:p>
          <w:p>
            <w:pPr>
              <w:pStyle w:val="Normal"/>
              <w:bidi w:val="0"/>
              <w:jc w:val="both"/>
              <w:rPr/>
            </w:pPr>
            <w:hyperlink r:id="rId10">
              <w:r>
                <w:rPr>
                  <w:rStyle w:val="InternetLink"/>
                  <w:rFonts w:ascii="Times New Roman" w:hAnsi="Times New Roman"/>
                  <w:b/>
                  <w:bCs/>
                  <w:sz w:val="24"/>
                  <w:szCs w:val="24"/>
                  <w:lang w:val="sr-CS"/>
                </w:rPr>
                <w:t>Прилог 5.1</w:t>
              </w:r>
            </w:hyperlink>
            <w:r>
              <w:rPr>
                <w:rFonts w:ascii="Times New Roman" w:hAnsi="Times New Roman"/>
                <w:b/>
                <w:bCs/>
                <w:sz w:val="24"/>
                <w:szCs w:val="24"/>
                <w:lang w:val="sr-CS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  <w:lang w:val="sr-CS"/>
              </w:rPr>
              <w:t xml:space="preserve"> Књига предмета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sr-CS"/>
              </w:rPr>
              <w:t xml:space="preserve">(у документацији  и на сајту институције). </w:t>
            </w:r>
          </w:p>
          <w:p>
            <w:pPr>
              <w:pStyle w:val="Normal"/>
              <w:bidi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S"/>
              </w:rPr>
              <w:t>Прилог 5.2.</w:t>
            </w:r>
            <w:r>
              <w:rPr>
                <w:rFonts w:ascii="Times New Roman" w:hAnsi="Times New Roman"/>
                <w:bCs/>
                <w:sz w:val="24"/>
                <w:szCs w:val="24"/>
                <w:lang w:val="sr-CS"/>
              </w:rPr>
              <w:t xml:space="preserve"> Одлука о прихватању студијског програма од стране стручних органа високошколске установе. </w:t>
            </w:r>
          </w:p>
          <w:p>
            <w:pPr>
              <w:pStyle w:val="Normal"/>
              <w:bidi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Прилог 5.3.</w:t>
            </w:r>
            <w:r>
              <w:rPr>
                <w:rFonts w:ascii="Times New Roman" w:hAnsi="Times New Roman"/>
                <w:bCs/>
                <w:sz w:val="24"/>
                <w:szCs w:val="24"/>
                <w:lang w:val="sr-CS"/>
              </w:rPr>
              <w:t xml:space="preserve"> Програм научноистраживачког односно уметничко истраживачког рада  (уз захтев за акредитацију студијског програма другог степена, мастер акдемских студија). </w:t>
            </w:r>
          </w:p>
          <w:p>
            <w:pPr>
              <w:pStyle w:val="Normal"/>
              <w:bidi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Прилог.5.4.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Решење</w:t>
            </w:r>
            <w:r>
              <w:rPr>
                <w:rFonts w:ascii="Times New Roman" w:hAnsi="Times New Roman"/>
                <w:bCs/>
                <w:sz w:val="24"/>
                <w:szCs w:val="24"/>
                <w:lang w:val="sr-CS"/>
              </w:rPr>
              <w:t xml:space="preserve"> о акредитацији научноистраживачке организације рада  (уз захтев за акредитацију студијског програма другог степена, мастер акдемских студија).</w:t>
            </w:r>
          </w:p>
        </w:tc>
      </w:tr>
    </w:tbl>
    <w:p>
      <w:pPr>
        <w:pStyle w:val="Normal"/>
        <w:bidi w:val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mbria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/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sz w:val="22"/>
        <w:szCs w:val="22"/>
        <w:rFonts w:cs="Cambria"/>
        <w:color w:val="000000"/>
        <w:lang w:val="sr-C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Mangal"/>
        <w:kern w:val="2"/>
        <w:sz w:val="24"/>
        <w:szCs w:val="24"/>
        <w:lang w:val="sr-Latn-RS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SimSun" w:cs="Mangal"/>
      <w:color w:val="auto"/>
      <w:kern w:val="2"/>
      <w:sz w:val="24"/>
      <w:szCs w:val="24"/>
      <w:lang w:val="sr-Latn-RS" w:eastAsia="zh-CN" w:bidi="hi-IN"/>
    </w:rPr>
  </w:style>
  <w:style w:type="character" w:styleId="WW8Num6z0">
    <w:name w:val="WW8Num6z0"/>
    <w:qFormat/>
    <w:rPr>
      <w:sz w:val="22"/>
      <w:szCs w:val="22"/>
      <w:lang w:val="sr-CS"/>
    </w:rPr>
  </w:style>
  <w:style w:type="character" w:styleId="WW8Num8z0">
    <w:name w:val="WW8Num8z0"/>
    <w:qFormat/>
    <w:rPr/>
  </w:style>
  <w:style w:type="character" w:styleId="WW8Num8z1">
    <w:name w:val="WW8Num8z1"/>
    <w:qFormat/>
    <w:rPr>
      <w:rFonts w:ascii="Cambria" w:hAnsi="Cambria" w:cs="Cambria"/>
      <w:color w:val="000000"/>
      <w:sz w:val="22"/>
      <w:szCs w:val="22"/>
      <w:lang w:val="sr-CS"/>
    </w:rPr>
  </w:style>
  <w:style w:type="character" w:styleId="WW8Num8z2">
    <w:name w:val="WW8Num8z2"/>
    <w:qFormat/>
    <w:rPr/>
  </w:style>
  <w:style w:type="character" w:styleId="WW8Num8z3">
    <w:name w:val="WW8Num8z3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InternetLink">
    <w:name w:val="Internet Link"/>
    <w:rPr>
      <w:color w:val="0000FF"/>
      <w:u w:val="single"/>
    </w:rPr>
  </w:style>
  <w:style w:type="character" w:styleId="VisitedInternetLink">
    <w:name w:val="Visited Internet Link"/>
    <w:rPr>
      <w:color w:val="800080"/>
      <w:u w:val="single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numbering" w:styleId="WW8Num6">
    <w:name w:val="WW8Num6"/>
    <w:qFormat/>
  </w:style>
  <w:style w:type="numbering" w:styleId="WW8Num8">
    <w:name w:val="WW8Num8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../../../IlijaK/AppData/Local/Downloads/Tabele/Tabela%205.1.doc" TargetMode="External"/><Relationship Id="rId3" Type="http://schemas.openxmlformats.org/officeDocument/2006/relationships/hyperlink" Target="../../../IlijaK/AppData/Local/Downloads/Tabele/Tabela%205.1a.doc" TargetMode="External"/><Relationship Id="rId4" Type="http://schemas.openxmlformats.org/officeDocument/2006/relationships/hyperlink" Target="../../../IlijaK/AppData/Local/Downloads/Tabele/Tabela%205.1b.doc" TargetMode="External"/><Relationship Id="rId5" Type="http://schemas.openxmlformats.org/officeDocument/2006/relationships/hyperlink" Target="../../../IlijaK/AppData/Local/Downloads/Tabele/Tabela%205.1v.doc" TargetMode="External"/><Relationship Id="rId6" Type="http://schemas.openxmlformats.org/officeDocument/2006/relationships/hyperlink" Target="../../../IlijaK/AppData/Local/Downloads/Tabele/Tabela%205.2.doc" TargetMode="External"/><Relationship Id="rId7" Type="http://schemas.openxmlformats.org/officeDocument/2006/relationships/hyperlink" Target="../../../IlijaK/AppData/Local/Downloads/Tabele/Tabela%205.3.doc" TargetMode="External"/><Relationship Id="rId8" Type="http://schemas.openxmlformats.org/officeDocument/2006/relationships/hyperlink" Target="../../../IlijaK/AppData/Local/Downloads/Tabele/Tabela%205.4.doc" TargetMode="External"/><Relationship Id="rId9" Type="http://schemas.openxmlformats.org/officeDocument/2006/relationships/hyperlink" Target="../../../IlijaK/AppData/Local/Downloads/Tabele/Blok%20tabela%205.doc" TargetMode="External"/><Relationship Id="rId10" Type="http://schemas.openxmlformats.org/officeDocument/2006/relationships/hyperlink" Target="file:///H:/1.1.1.1.%20Uputstva%20KAPK/KAPK%20Sva%20Uputstva%20i%20ostalo/Uputstvo%20za%20pripremu%20dokumentacije%20za%20SP%20I%20i%20II/Tabele/Tabela%205.2.doc" TargetMode="External"/><Relationship Id="rId11" Type="http://schemas.openxmlformats.org/officeDocument/2006/relationships/numbering" Target="numbering.xml"/><Relationship Id="rId12" Type="http://schemas.openxmlformats.org/officeDocument/2006/relationships/fontTable" Target="fontTable.xml"/><Relationship Id="rId1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</TotalTime>
  <Application>LibreOffice/6.3.6.2$Windows_X86_64 LibreOffice_project/2196df99b074d8a661f4036fca8fa0cbfa33a497</Application>
  <Pages>2</Pages>
  <Words>423</Words>
  <Characters>2689</Characters>
  <CharactersWithSpaces>3111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2021-06-22T18:12:55Z</dcterms:created>
  <dc:creator/>
  <dc:description/>
  <dc:language>sr-Latn-RS</dc:language>
  <cp:lastModifiedBy/>
  <dcterms:modified xsi:type="dcterms:W3CDTF">2021-06-22T18:17:55Z</dcterms:modified>
  <cp:revision>1</cp:revision>
  <dc:subject/>
  <dc:title/>
</cp:coreProperties>
</file>